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009C" w:rsidRDefault="00EB009C" w:rsidP="00EB009C">
      <w:pPr>
        <w:autoSpaceDE w:val="0"/>
        <w:autoSpaceDN w:val="0"/>
        <w:adjustRightInd w:val="0"/>
        <w:spacing w:after="280" w:line="240" w:lineRule="auto"/>
        <w:rPr>
          <w:rFonts w:ascii="Times-Bold" w:hAnsi="Times-Bold" w:cs="Times-Bold"/>
          <w:b/>
          <w:bCs/>
          <w:color w:val="000000"/>
          <w:kern w:val="0"/>
          <w:sz w:val="28"/>
          <w:szCs w:val="28"/>
          <w:lang w:val="en-GB"/>
        </w:rPr>
      </w:pPr>
      <w:r>
        <w:rPr>
          <w:rFonts w:ascii="Times-Bold" w:hAnsi="Times-Bold" w:cs="Times-Bold"/>
          <w:b/>
          <w:bCs/>
          <w:color w:val="000000"/>
          <w:kern w:val="0"/>
          <w:sz w:val="28"/>
          <w:szCs w:val="28"/>
          <w:lang w:val="en-GB"/>
        </w:rPr>
        <w:t>Competition Strategy — Electrical System</w:t>
      </w:r>
    </w:p>
    <w:p w:rsidR="00EB009C" w:rsidRDefault="00EB009C" w:rsidP="00EB009C">
      <w:pPr>
        <w:autoSpaceDE w:val="0"/>
        <w:autoSpaceDN w:val="0"/>
        <w:adjustRightInd w:val="0"/>
        <w:spacing w:after="240" w:line="240" w:lineRule="auto"/>
        <w:rPr>
          <w:rFonts w:ascii="Times-Roman" w:hAnsi="Times-Roman" w:cs="Times-Roman"/>
          <w:color w:val="000000"/>
          <w:kern w:val="0"/>
          <w:szCs w:val="24"/>
          <w:lang w:val="en-GB"/>
        </w:rPr>
      </w:pPr>
      <w:r>
        <w:rPr>
          <w:rFonts w:ascii="Times-Roman" w:hAnsi="Times-Roman" w:cs="Times-Roman"/>
          <w:color w:val="000000"/>
          <w:kern w:val="0"/>
          <w:szCs w:val="24"/>
          <w:lang w:val="en-GB"/>
        </w:rPr>
        <w:t xml:space="preserve">During </w:t>
      </w:r>
      <w:proofErr w:type="spellStart"/>
      <w:r>
        <w:rPr>
          <w:rFonts w:ascii="Times-Roman" w:hAnsi="Times-Roman" w:cs="Times-Roman"/>
          <w:color w:val="000000"/>
          <w:kern w:val="0"/>
          <w:szCs w:val="24"/>
          <w:lang w:val="en-GB"/>
        </w:rPr>
        <w:t>Hangor</w:t>
      </w:r>
      <w:proofErr w:type="spellEnd"/>
      <w:r>
        <w:rPr>
          <w:rFonts w:ascii="Times-Roman" w:hAnsi="Times-Roman" w:cs="Times-Roman"/>
          <w:color w:val="000000"/>
          <w:kern w:val="0"/>
          <w:szCs w:val="24"/>
          <w:lang w:val="en-GB"/>
        </w:rPr>
        <w:t xml:space="preserve"> 1.0 operations at </w:t>
      </w:r>
      <w:proofErr w:type="spellStart"/>
      <w:r>
        <w:rPr>
          <w:rFonts w:ascii="Times-Roman" w:hAnsi="Times-Roman" w:cs="Times-Roman"/>
          <w:color w:val="000000"/>
          <w:kern w:val="0"/>
          <w:szCs w:val="24"/>
          <w:lang w:val="en-GB"/>
        </w:rPr>
        <w:t>RoboSub</w:t>
      </w:r>
      <w:proofErr w:type="spellEnd"/>
      <w:r>
        <w:rPr>
          <w:rFonts w:ascii="Times-Roman" w:hAnsi="Times-Roman" w:cs="Times-Roman"/>
          <w:color w:val="000000"/>
          <w:kern w:val="0"/>
          <w:szCs w:val="24"/>
          <w:lang w:val="en-GB"/>
        </w:rPr>
        <w:t xml:space="preserve"> 2025, the electrical system encountered several failure modes that directly degraded competition performance. Distributed power architecture increased the number of exposed connector interfaces and raised water ingress risk at multiple independent penetration points. ESC switching noise coupled into compute and sensor supply rails, causing intermittent instability in sensor data acquisition during autonomous mission execution. Tether connection reliability was also inconsistent across repeated deployment and retrieval cycles. These failure modes reduced operational uptime and directly limited the number of </w:t>
      </w:r>
      <w:proofErr w:type="gramStart"/>
      <w:r>
        <w:rPr>
          <w:rFonts w:ascii="Times-Roman" w:hAnsi="Times-Roman" w:cs="Times-Roman"/>
          <w:color w:val="000000"/>
          <w:kern w:val="0"/>
          <w:szCs w:val="24"/>
          <w:lang w:val="en-GB"/>
        </w:rPr>
        <w:t>competition</w:t>
      </w:r>
      <w:proofErr w:type="gramEnd"/>
      <w:r>
        <w:rPr>
          <w:rFonts w:ascii="Times-Roman" w:hAnsi="Times-Roman" w:cs="Times-Roman"/>
          <w:color w:val="000000"/>
          <w:kern w:val="0"/>
          <w:szCs w:val="24"/>
          <w:lang w:val="en-GB"/>
        </w:rPr>
        <w:t xml:space="preserve"> tasks the vehicle could reliably attempt.</w:t>
      </w:r>
    </w:p>
    <w:p w:rsidR="00EB009C" w:rsidRDefault="00EB009C" w:rsidP="00EB009C">
      <w:pPr>
        <w:autoSpaceDE w:val="0"/>
        <w:autoSpaceDN w:val="0"/>
        <w:adjustRightInd w:val="0"/>
        <w:spacing w:after="240" w:line="240" w:lineRule="auto"/>
        <w:rPr>
          <w:rFonts w:ascii="Times-Roman" w:hAnsi="Times-Roman" w:cs="Times-Roman"/>
          <w:color w:val="000000"/>
          <w:kern w:val="0"/>
          <w:szCs w:val="24"/>
          <w:lang w:val="en-GB"/>
        </w:rPr>
      </w:pPr>
      <w:r>
        <w:rPr>
          <w:rFonts w:ascii="Times-Roman" w:hAnsi="Times-Roman" w:cs="Times-Roman"/>
          <w:color w:val="000000"/>
          <w:kern w:val="0"/>
          <w:szCs w:val="24"/>
          <w:lang w:val="en-GB"/>
        </w:rPr>
        <w:t xml:space="preserve">The competition strategy for HAUV 2.0 was developed around three core principles: architectural simplicity, hardware-enforced safety, and systematically verified reliability before every pool entry. Rather than maximizing task count at the cost of system stability, the team made a deliberate decision to prioritize a deeply reliable electrical foundation that enables consistent autonomous mission execution across all planned tasks. This trade-off reflects the direct lesson from </w:t>
      </w:r>
      <w:proofErr w:type="spellStart"/>
      <w:r>
        <w:rPr>
          <w:rFonts w:ascii="Times-Roman" w:hAnsi="Times-Roman" w:cs="Times-Roman"/>
          <w:color w:val="000000"/>
          <w:kern w:val="0"/>
          <w:szCs w:val="24"/>
          <w:lang w:val="en-GB"/>
        </w:rPr>
        <w:t>Hangor</w:t>
      </w:r>
      <w:proofErr w:type="spellEnd"/>
      <w:r>
        <w:rPr>
          <w:rFonts w:ascii="Times-Roman" w:hAnsi="Times-Roman" w:cs="Times-Roman"/>
          <w:color w:val="000000"/>
          <w:kern w:val="0"/>
          <w:szCs w:val="24"/>
          <w:lang w:val="en-GB"/>
        </w:rPr>
        <w:t xml:space="preserve"> 1.0, where unreliable subsystems consumed field preparation time and reduced effective competition hours. With a centralized power distribution architecture, star-ground topology, dedicated DC-DC regulation per compute rail, and a hardware kill switch rated at 280A combined capacity, HAUV 2.0 eliminates the class of failures that degraded </w:t>
      </w:r>
      <w:proofErr w:type="spellStart"/>
      <w:r>
        <w:rPr>
          <w:rFonts w:ascii="Times-Roman" w:hAnsi="Times-Roman" w:cs="Times-Roman"/>
          <w:color w:val="000000"/>
          <w:kern w:val="0"/>
          <w:szCs w:val="24"/>
          <w:lang w:val="en-GB"/>
        </w:rPr>
        <w:t>Hangor</w:t>
      </w:r>
      <w:proofErr w:type="spellEnd"/>
      <w:r>
        <w:rPr>
          <w:rFonts w:ascii="Times-Roman" w:hAnsi="Times-Roman" w:cs="Times-Roman"/>
          <w:color w:val="000000"/>
          <w:kern w:val="0"/>
          <w:szCs w:val="24"/>
          <w:lang w:val="en-GB"/>
        </w:rPr>
        <w:t xml:space="preserve"> 1.0 performance rather than simply adding new capabilities on top of an unstable foundation.</w:t>
      </w:r>
    </w:p>
    <w:p w:rsidR="00EB009C" w:rsidRDefault="00EB009C" w:rsidP="00EB009C">
      <w:pPr>
        <w:autoSpaceDE w:val="0"/>
        <w:autoSpaceDN w:val="0"/>
        <w:adjustRightInd w:val="0"/>
        <w:spacing w:after="240" w:line="240" w:lineRule="auto"/>
        <w:rPr>
          <w:rFonts w:ascii="Times-Roman" w:hAnsi="Times-Roman" w:cs="Times-Roman"/>
          <w:color w:val="000000"/>
          <w:kern w:val="0"/>
          <w:szCs w:val="24"/>
          <w:lang w:val="en-GB"/>
        </w:rPr>
      </w:pPr>
      <w:r>
        <w:rPr>
          <w:rFonts w:ascii="Times-Roman" w:hAnsi="Times-Roman" w:cs="Times-Roman"/>
          <w:color w:val="000000"/>
          <w:kern w:val="0"/>
          <w:szCs w:val="24"/>
          <w:lang w:val="en-GB"/>
        </w:rPr>
        <w:t>Mission execution follows a defined pre-deployment checklist covering leak sensor self-test, battery voltage and regulated rail verification, ESC arming confirmation, and kill switch function validation before each pool entry. Mission scripts are uploaded and confirmed over the tether link prior to deployment, after which the tether is physically disconnected to eliminate drag as a variable during autonomous task execution. This structured approach ensures that competition time is spent executing tasks rather than diagnosing field failures.</w:t>
      </w:r>
    </w:p>
    <w:p w:rsidR="00EB009C" w:rsidRDefault="00EB009C" w:rsidP="00EB009C">
      <w:pPr>
        <w:autoSpaceDE w:val="0"/>
        <w:autoSpaceDN w:val="0"/>
        <w:adjustRightInd w:val="0"/>
        <w:spacing w:after="0" w:line="240" w:lineRule="auto"/>
        <w:rPr>
          <w:rFonts w:ascii="Times-Roman" w:hAnsi="Times-Roman" w:cs="Times-Roman"/>
          <w:color w:val="6D6D6D"/>
          <w:kern w:val="0"/>
          <w:szCs w:val="24"/>
          <w:lang w:val="en-GB"/>
        </w:rPr>
      </w:pPr>
    </w:p>
    <w:p w:rsidR="00EB009C" w:rsidRDefault="00EB009C" w:rsidP="00EB009C">
      <w:pPr>
        <w:autoSpaceDE w:val="0"/>
        <w:autoSpaceDN w:val="0"/>
        <w:adjustRightInd w:val="0"/>
        <w:spacing w:after="280" w:line="240" w:lineRule="auto"/>
        <w:rPr>
          <w:rFonts w:ascii="Times-Bold" w:hAnsi="Times-Bold" w:cs="Times-Bold"/>
          <w:b/>
          <w:bCs/>
          <w:color w:val="000000"/>
          <w:kern w:val="0"/>
          <w:sz w:val="28"/>
          <w:szCs w:val="28"/>
          <w:lang w:val="en-GB"/>
        </w:rPr>
      </w:pPr>
      <w:r>
        <w:rPr>
          <w:rFonts w:ascii="Times-Bold" w:hAnsi="Times-Bold" w:cs="Times-Bold"/>
          <w:b/>
          <w:bCs/>
          <w:color w:val="000000"/>
          <w:kern w:val="0"/>
          <w:sz w:val="28"/>
          <w:szCs w:val="28"/>
          <w:lang w:val="en-GB"/>
        </w:rPr>
        <w:t>Design Strategy — Electrical System</w:t>
      </w:r>
    </w:p>
    <w:p w:rsidR="00EB009C" w:rsidRDefault="00EB009C" w:rsidP="00EB009C">
      <w:pPr>
        <w:autoSpaceDE w:val="0"/>
        <w:autoSpaceDN w:val="0"/>
        <w:adjustRightInd w:val="0"/>
        <w:spacing w:after="240" w:line="240" w:lineRule="auto"/>
        <w:rPr>
          <w:rFonts w:ascii="Times-Roman" w:hAnsi="Times-Roman" w:cs="Times-Roman"/>
          <w:color w:val="000000"/>
          <w:kern w:val="0"/>
          <w:szCs w:val="24"/>
          <w:lang w:val="en-GB"/>
        </w:rPr>
      </w:pPr>
      <w:r>
        <w:rPr>
          <w:rFonts w:ascii="Times-Roman" w:hAnsi="Times-Roman" w:cs="Times-Roman"/>
          <w:color w:val="000000"/>
          <w:kern w:val="0"/>
          <w:szCs w:val="24"/>
          <w:lang w:val="en-GB"/>
        </w:rPr>
        <w:t xml:space="preserve">The electrical design strategy for HAUV 2.0 was driven by the failure analysis of </w:t>
      </w:r>
      <w:proofErr w:type="spellStart"/>
      <w:r>
        <w:rPr>
          <w:rFonts w:ascii="Times-Roman" w:hAnsi="Times-Roman" w:cs="Times-Roman"/>
          <w:color w:val="000000"/>
          <w:kern w:val="0"/>
          <w:szCs w:val="24"/>
          <w:lang w:val="en-GB"/>
        </w:rPr>
        <w:t>Hangor</w:t>
      </w:r>
      <w:proofErr w:type="spellEnd"/>
      <w:r>
        <w:rPr>
          <w:rFonts w:ascii="Times-Roman" w:hAnsi="Times-Roman" w:cs="Times-Roman"/>
          <w:color w:val="000000"/>
          <w:kern w:val="0"/>
          <w:szCs w:val="24"/>
          <w:lang w:val="en-GB"/>
        </w:rPr>
        <w:t xml:space="preserve"> 1.0 and a systems engineering decision to resolve architectural root causes rather than apply incremental fixes. The three primary design goals were: noise isolation between high-current thruster circuits and low-level compute and sensor electronics, hardware-enforced safety independent of software state, and a power distribution architecture that supports sustained autonomous operation within the expected competition mission window.</w:t>
      </w:r>
    </w:p>
    <w:p w:rsidR="00EB009C" w:rsidRDefault="00EB009C" w:rsidP="00EB009C">
      <w:pPr>
        <w:autoSpaceDE w:val="0"/>
        <w:autoSpaceDN w:val="0"/>
        <w:adjustRightInd w:val="0"/>
        <w:spacing w:after="240" w:line="240" w:lineRule="auto"/>
        <w:rPr>
          <w:rFonts w:ascii="Times-Roman" w:hAnsi="Times-Roman" w:cs="Times-Roman"/>
          <w:color w:val="000000"/>
          <w:kern w:val="0"/>
          <w:szCs w:val="24"/>
          <w:lang w:val="en-GB"/>
        </w:rPr>
      </w:pPr>
      <w:r>
        <w:rPr>
          <w:rFonts w:ascii="Times-Roman" w:hAnsi="Times-Roman" w:cs="Times-Roman"/>
          <w:color w:val="000000"/>
          <w:kern w:val="0"/>
          <w:szCs w:val="24"/>
          <w:lang w:val="en-GB"/>
        </w:rPr>
        <w:t xml:space="preserve">The centralized custom two-layer PCB with 2 oz copper weight consolidates all power distribution, protection, and monitoring functions onto a single board. A star-ground topology with all return paths converging to a single common node eliminates the ground loops that contributed to conducted noise in </w:t>
      </w:r>
      <w:proofErr w:type="spellStart"/>
      <w:r>
        <w:rPr>
          <w:rFonts w:ascii="Times-Roman" w:hAnsi="Times-Roman" w:cs="Times-Roman"/>
          <w:color w:val="000000"/>
          <w:kern w:val="0"/>
          <w:szCs w:val="24"/>
          <w:lang w:val="en-GB"/>
        </w:rPr>
        <w:t>Hangor</w:t>
      </w:r>
      <w:proofErr w:type="spellEnd"/>
      <w:r>
        <w:rPr>
          <w:rFonts w:ascii="Times-Roman" w:hAnsi="Times-Roman" w:cs="Times-Roman"/>
          <w:color w:val="000000"/>
          <w:kern w:val="0"/>
          <w:szCs w:val="24"/>
          <w:lang w:val="en-GB"/>
        </w:rPr>
        <w:t xml:space="preserve"> 1.0. ESC supply branches are individually protected with resettable </w:t>
      </w:r>
      <w:proofErr w:type="spellStart"/>
      <w:r>
        <w:rPr>
          <w:rFonts w:ascii="Times-Roman" w:hAnsi="Times-Roman" w:cs="Times-Roman"/>
          <w:color w:val="000000"/>
          <w:kern w:val="0"/>
          <w:szCs w:val="24"/>
          <w:lang w:val="en-GB"/>
        </w:rPr>
        <w:t>polyfuses</w:t>
      </w:r>
      <w:proofErr w:type="spellEnd"/>
      <w:r>
        <w:rPr>
          <w:rFonts w:ascii="Times-Roman" w:hAnsi="Times-Roman" w:cs="Times-Roman"/>
          <w:color w:val="000000"/>
          <w:kern w:val="0"/>
          <w:szCs w:val="24"/>
          <w:lang w:val="en-GB"/>
        </w:rPr>
        <w:t xml:space="preserve">, while 30V TVS diodes are placed at the main bus and each ESC node to suppress inductive switching transients from the T200 motor windings. Bulk capacitance of 4 × 1000 µF distributed across the ESC power rails further reduces high-frequency switching noise </w:t>
      </w:r>
      <w:r>
        <w:rPr>
          <w:rFonts w:ascii="Times-Roman" w:hAnsi="Times-Roman" w:cs="Times-Roman"/>
          <w:color w:val="000000"/>
          <w:kern w:val="0"/>
          <w:szCs w:val="24"/>
          <w:lang w:val="en-GB"/>
        </w:rPr>
        <w:lastRenderedPageBreak/>
        <w:t>and provides local charge reservoir during rapid throttle transients. These decisions collectively address the noise coupling failure mode observed in the previous system.</w:t>
      </w:r>
    </w:p>
    <w:p w:rsidR="00EB009C" w:rsidRDefault="00EB009C" w:rsidP="00EB009C">
      <w:pPr>
        <w:autoSpaceDE w:val="0"/>
        <w:autoSpaceDN w:val="0"/>
        <w:adjustRightInd w:val="0"/>
        <w:spacing w:after="240" w:line="240" w:lineRule="auto"/>
        <w:rPr>
          <w:rFonts w:ascii="Times-Roman" w:hAnsi="Times-Roman" w:cs="Times-Roman"/>
          <w:color w:val="000000"/>
          <w:kern w:val="0"/>
          <w:szCs w:val="24"/>
          <w:lang w:val="en-GB"/>
        </w:rPr>
      </w:pPr>
      <w:r>
        <w:rPr>
          <w:rFonts w:ascii="Times-Roman" w:hAnsi="Times-Roman" w:cs="Times-Roman"/>
          <w:color w:val="000000"/>
          <w:kern w:val="0"/>
          <w:szCs w:val="24"/>
          <w:lang w:val="en-GB"/>
        </w:rPr>
        <w:t>The compute architecture was separated into two distinct boards with clearly defined responsibilities: the NVIDIA Jetson Orin Nano handles vision processing and perception under ROS2, while the Raspberry Pi 4B handles mission state management and real-time thruster command generation via the PCA9685 PWM module over I2C. This separation ensures that vision processing load cannot interfere with real-time control output. Dedicated DC-DC converters generate isolated regulated supply rails for each compute board, maintaining stable operating voltage across the full battery discharge curve from 21V fully charged to approximately 15V cutoff. The kill switch architecture uses four P-channel MOSFETs in parallel, each rated at 70A, providing a 280A combined high-side switching capacity that immediately disables all ESC outputs upon actuation while leaving the compute stack and sensors fully powered for continued monitoring and controlled re-arming. This design allows the team to maintain hardware-enforced safety compliance without sacrificing post-kill diagnostic capability.</w:t>
      </w:r>
    </w:p>
    <w:p w:rsidR="00EB009C" w:rsidRDefault="00EB009C" w:rsidP="00EB009C">
      <w:pPr>
        <w:autoSpaceDE w:val="0"/>
        <w:autoSpaceDN w:val="0"/>
        <w:adjustRightInd w:val="0"/>
        <w:spacing w:after="240" w:line="240" w:lineRule="auto"/>
        <w:rPr>
          <w:rFonts w:ascii="Times-Roman" w:hAnsi="Times-Roman" w:cs="Times-Roman"/>
          <w:color w:val="000000"/>
          <w:kern w:val="0"/>
          <w:szCs w:val="24"/>
          <w:lang w:val="en-GB"/>
        </w:rPr>
      </w:pPr>
      <w:r>
        <w:rPr>
          <w:rFonts w:ascii="Times-Roman" w:hAnsi="Times-Roman" w:cs="Times-Roman"/>
          <w:color w:val="000000"/>
          <w:kern w:val="0"/>
          <w:szCs w:val="24"/>
          <w:lang w:val="en-GB"/>
        </w:rPr>
        <w:t>The Blue Robotics Bar30 high-resolution pressure and temperature sensor is integrated via serial to the Raspberry Pi 4B, providing real-time depth feedback for closed-loop depth hold control during autonomous mission execution. The decision to use a dedicated pressure sensor rather than estimating depth from IMU integration eliminates cumulative drift errors in the vertical axis, which is critical for precise altitude maintenance</w:t>
      </w:r>
    </w:p>
    <w:p w:rsidR="00EB009C" w:rsidRDefault="00EB009C" w:rsidP="00EB009C">
      <w:pPr>
        <w:autoSpaceDE w:val="0"/>
        <w:autoSpaceDN w:val="0"/>
        <w:adjustRightInd w:val="0"/>
        <w:spacing w:after="0" w:line="240" w:lineRule="auto"/>
        <w:rPr>
          <w:rFonts w:ascii="Times-Roman" w:hAnsi="Times-Roman" w:cs="Times-Roman"/>
          <w:color w:val="6D6D6D"/>
          <w:kern w:val="0"/>
          <w:szCs w:val="24"/>
          <w:lang w:val="en-GB"/>
        </w:rPr>
      </w:pPr>
    </w:p>
    <w:p w:rsidR="00EB009C" w:rsidRDefault="00EB009C" w:rsidP="00EB009C">
      <w:pPr>
        <w:autoSpaceDE w:val="0"/>
        <w:autoSpaceDN w:val="0"/>
        <w:adjustRightInd w:val="0"/>
        <w:spacing w:after="280" w:line="240" w:lineRule="auto"/>
        <w:rPr>
          <w:rFonts w:ascii="Times-Bold" w:hAnsi="Times-Bold" w:cs="Times-Bold"/>
          <w:b/>
          <w:bCs/>
          <w:color w:val="000000"/>
          <w:kern w:val="0"/>
          <w:sz w:val="28"/>
          <w:szCs w:val="28"/>
          <w:lang w:val="en-GB"/>
        </w:rPr>
      </w:pPr>
      <w:r>
        <w:rPr>
          <w:rFonts w:ascii="Times-Bold" w:hAnsi="Times-Bold" w:cs="Times-Bold"/>
          <w:b/>
          <w:bCs/>
          <w:color w:val="000000"/>
          <w:kern w:val="0"/>
          <w:sz w:val="28"/>
          <w:szCs w:val="28"/>
          <w:lang w:val="en-GB"/>
        </w:rPr>
        <w:t>Testing Strategy — Electrical System</w:t>
      </w:r>
    </w:p>
    <w:p w:rsidR="00EB009C" w:rsidRDefault="00EB009C" w:rsidP="00EB009C">
      <w:pPr>
        <w:autoSpaceDE w:val="0"/>
        <w:autoSpaceDN w:val="0"/>
        <w:adjustRightInd w:val="0"/>
        <w:spacing w:after="240" w:line="240" w:lineRule="auto"/>
        <w:rPr>
          <w:rFonts w:ascii="Times-Roman" w:hAnsi="Times-Roman" w:cs="Times-Roman"/>
          <w:color w:val="000000"/>
          <w:kern w:val="0"/>
          <w:szCs w:val="24"/>
          <w:lang w:val="en-GB"/>
        </w:rPr>
      </w:pPr>
      <w:r>
        <w:rPr>
          <w:rFonts w:ascii="Times-Roman" w:hAnsi="Times-Roman" w:cs="Times-Roman"/>
          <w:color w:val="000000"/>
          <w:kern w:val="0"/>
          <w:szCs w:val="24"/>
          <w:lang w:val="en-GB"/>
        </w:rPr>
        <w:t>The electrical testing strategy for HAUV 2.0 was structured in three phases: component-level validation, subsystem integration testing, and full-system pool-based operational testing. This phased approach was designed to identify failure modes at the earliest possible stage, reducing the risk of compound failures during field deployment and ensuring that competition preparation time is spent on capability refinement rather than fault diagnosis.</w:t>
      </w:r>
    </w:p>
    <w:p w:rsidR="00EB009C" w:rsidRDefault="00EB009C" w:rsidP="00EB009C">
      <w:pPr>
        <w:autoSpaceDE w:val="0"/>
        <w:autoSpaceDN w:val="0"/>
        <w:adjustRightInd w:val="0"/>
        <w:spacing w:after="240" w:line="240" w:lineRule="auto"/>
        <w:rPr>
          <w:rFonts w:ascii="Times-Roman" w:hAnsi="Times-Roman" w:cs="Times-Roman"/>
          <w:color w:val="000000"/>
          <w:kern w:val="0"/>
          <w:szCs w:val="24"/>
          <w:lang w:val="en-GB"/>
        </w:rPr>
      </w:pPr>
      <w:r>
        <w:rPr>
          <w:rFonts w:ascii="Times-Roman" w:hAnsi="Times-Roman" w:cs="Times-Roman"/>
          <w:color w:val="000000"/>
          <w:kern w:val="0"/>
          <w:szCs w:val="24"/>
          <w:lang w:val="en-GB"/>
        </w:rPr>
        <w:t xml:space="preserve">Component-level testing began with the custom PCB, covering power trace continuity verification, star-ground integrity, TVS diode placement confirmation, and </w:t>
      </w:r>
      <w:proofErr w:type="spellStart"/>
      <w:r>
        <w:rPr>
          <w:rFonts w:ascii="Times-Roman" w:hAnsi="Times-Roman" w:cs="Times-Roman"/>
          <w:color w:val="000000"/>
          <w:kern w:val="0"/>
          <w:szCs w:val="24"/>
          <w:lang w:val="en-GB"/>
        </w:rPr>
        <w:t>polyfuse</w:t>
      </w:r>
      <w:proofErr w:type="spellEnd"/>
      <w:r>
        <w:rPr>
          <w:rFonts w:ascii="Times-Roman" w:hAnsi="Times-Roman" w:cs="Times-Roman"/>
          <w:color w:val="000000"/>
          <w:kern w:val="0"/>
          <w:szCs w:val="24"/>
          <w:lang w:val="en-GB"/>
        </w:rPr>
        <w:t xml:space="preserve"> response testing under simulated overcurrent conditions on each ESC branch. DC-DC converter output regulation was verified across the full battery voltage range from 15V to 21V to confirm stable compute rail delivery at both voltage extremes. The kill switch MOSFET array was tested for reliable turn-on and turn-off under load, with gate drive response verified against the Zener biasing network under worst-case voltage variation. Reverse polarity protection was functionally tested by deliberately connecting the battery in reverse orientation and confirming that no downstream electronics received power.</w:t>
      </w:r>
    </w:p>
    <w:p w:rsidR="00EB009C" w:rsidRDefault="00EB009C" w:rsidP="00EB009C">
      <w:pPr>
        <w:autoSpaceDE w:val="0"/>
        <w:autoSpaceDN w:val="0"/>
        <w:adjustRightInd w:val="0"/>
        <w:spacing w:after="240" w:line="240" w:lineRule="auto"/>
        <w:rPr>
          <w:rFonts w:ascii="Times-Roman" w:hAnsi="Times-Roman" w:cs="Times-Roman"/>
          <w:color w:val="000000"/>
          <w:kern w:val="0"/>
          <w:szCs w:val="24"/>
          <w:lang w:val="en-GB"/>
        </w:rPr>
      </w:pPr>
      <w:r>
        <w:rPr>
          <w:rFonts w:ascii="Times-Roman" w:hAnsi="Times-Roman" w:cs="Times-Roman"/>
          <w:color w:val="000000"/>
          <w:kern w:val="0"/>
          <w:szCs w:val="24"/>
          <w:lang w:val="en-GB"/>
        </w:rPr>
        <w:t xml:space="preserve">Subsystem integration testing validated the interaction between the power distribution PCB, compute stack, ESC array, and sensor interfaces. ESC arming sequences and PWM response linearity from the PCA9685 were confirmed across all eight thruster channels simultaneously. Power monitoring telemetry from the 100A Hall-effect current sensor and voltage divider was calibrated against reference instruments and validated for accuracy across the expected load </w:t>
      </w:r>
      <w:r>
        <w:rPr>
          <w:rFonts w:ascii="Times-Roman" w:hAnsi="Times-Roman" w:cs="Times-Roman"/>
          <w:color w:val="000000"/>
          <w:kern w:val="0"/>
          <w:szCs w:val="24"/>
          <w:lang w:val="en-GB"/>
        </w:rPr>
        <w:lastRenderedPageBreak/>
        <w:t>range. Leak sensor probe response was tested by introducing controlled moisture at each probe location within the enclosure and verifying that the RGB indicator and software kill sequence responded correctly in all cases. Communication link stability over the Fathom-X tether interface was validated at the full 50-metre tether length under continuous telemetry streaming.</w:t>
      </w:r>
    </w:p>
    <w:p w:rsidR="00EB009C" w:rsidRDefault="00EB009C" w:rsidP="00EB009C">
      <w:pPr>
        <w:autoSpaceDE w:val="0"/>
        <w:autoSpaceDN w:val="0"/>
        <w:adjustRightInd w:val="0"/>
        <w:spacing w:after="240" w:line="240" w:lineRule="auto"/>
        <w:rPr>
          <w:rFonts w:ascii="Times-Roman" w:hAnsi="Times-Roman" w:cs="Times-Roman"/>
          <w:color w:val="000000"/>
          <w:kern w:val="0"/>
          <w:szCs w:val="24"/>
          <w:lang w:val="en-GB"/>
        </w:rPr>
      </w:pPr>
      <w:r>
        <w:rPr>
          <w:rFonts w:ascii="Times-Roman" w:hAnsi="Times-Roman" w:cs="Times-Roman"/>
          <w:color w:val="000000"/>
          <w:kern w:val="0"/>
          <w:szCs w:val="24"/>
          <w:lang w:val="en-GB"/>
        </w:rPr>
        <w:t xml:space="preserve">Full-system pool-based testing evaluated electrical performance under realistic underwater operating conditions, including sustained thruster loading, thermal </w:t>
      </w:r>
      <w:proofErr w:type="spellStart"/>
      <w:r>
        <w:rPr>
          <w:rFonts w:ascii="Times-Roman" w:hAnsi="Times-Roman" w:cs="Times-Roman"/>
          <w:color w:val="000000"/>
          <w:kern w:val="0"/>
          <w:szCs w:val="24"/>
          <w:lang w:val="en-GB"/>
        </w:rPr>
        <w:t>behavior</w:t>
      </w:r>
      <w:proofErr w:type="spellEnd"/>
      <w:r>
        <w:rPr>
          <w:rFonts w:ascii="Times-Roman" w:hAnsi="Times-Roman" w:cs="Times-Roman"/>
          <w:color w:val="000000"/>
          <w:kern w:val="0"/>
          <w:szCs w:val="24"/>
          <w:lang w:val="en-GB"/>
        </w:rPr>
        <w:t xml:space="preserve"> of the enclosed PCB and </w:t>
      </w:r>
      <w:proofErr w:type="spellStart"/>
      <w:r>
        <w:rPr>
          <w:rFonts w:ascii="Times-Roman" w:hAnsi="Times-Roman" w:cs="Times-Roman"/>
          <w:color w:val="000000"/>
          <w:kern w:val="0"/>
          <w:szCs w:val="24"/>
          <w:lang w:val="en-GB"/>
        </w:rPr>
        <w:t>compute</w:t>
      </w:r>
      <w:proofErr w:type="spellEnd"/>
      <w:r>
        <w:rPr>
          <w:rFonts w:ascii="Times-Roman" w:hAnsi="Times-Roman" w:cs="Times-Roman"/>
          <w:color w:val="000000"/>
          <w:kern w:val="0"/>
          <w:szCs w:val="24"/>
          <w:lang w:val="en-GB"/>
        </w:rPr>
        <w:t xml:space="preserve"> hardware during extended submersion, and the integrity of all cable penetrator seals across repeated assembly and disassembly cycles. Operational testing also verified that the tether-disconnected autonomous execution mode functioned correctly across all planned mission script sequences, and that the pre-mission electrical checklist could be completed consistently within the available competition preparation window.</w:t>
      </w:r>
    </w:p>
    <w:p w:rsidR="00EB009C" w:rsidRDefault="00EB009C"/>
    <w:sectPr w:rsidR="00EB009C" w:rsidSect="00EB009C">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angal">
    <w:panose1 w:val="02040503050203030202"/>
    <w:charset w:val="01"/>
    <w:family w:val="roman"/>
    <w:pitch w:val="variable"/>
    <w:sig w:usb0="0000A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Bold">
    <w:altName w:val="Times New Roman"/>
    <w:panose1 w:val="020B0604020202020204"/>
    <w:charset w:val="00"/>
    <w:family w:val="roman"/>
    <w:notTrueType/>
    <w:pitch w:val="default"/>
    <w:sig w:usb0="00000003" w:usb1="00000000" w:usb2="00000000" w:usb3="00000000" w:csb0="00000001" w:csb1="00000000"/>
  </w:font>
  <w:font w:name="Times-Roman">
    <w:altName w:val="Times New Roman"/>
    <w:panose1 w:val="020B0604020202020204"/>
    <w:charset w:val="00"/>
    <w:family w:val="roman"/>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09C"/>
    <w:rsid w:val="00C3365F"/>
    <w:rsid w:val="00EB009C"/>
  </w:rsids>
  <m:mathPr>
    <m:mathFont m:val="Cambria Math"/>
    <m:brkBin m:val="before"/>
    <m:brkBinSub m:val="--"/>
    <m:smallFrac m:val="0"/>
    <m:dispDef/>
    <m:lMargin m:val="0"/>
    <m:rMargin m:val="0"/>
    <m:defJc m:val="centerGroup"/>
    <m:wrapIndent m:val="1440"/>
    <m:intLim m:val="subSup"/>
    <m:naryLim m:val="undOvr"/>
  </m:mathPr>
  <w:themeFontLang w:val="en-BD"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509E22A7-EC29-CE46-A575-5D47B1F0F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BD"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EB009C"/>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EB009C"/>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EB009C"/>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EB00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00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00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00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00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00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09C"/>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EB009C"/>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EB009C"/>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EB00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00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00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00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00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009C"/>
    <w:rPr>
      <w:rFonts w:eastAsiaTheme="majorEastAsia" w:cstheme="majorBidi"/>
      <w:color w:val="272727" w:themeColor="text1" w:themeTint="D8"/>
    </w:rPr>
  </w:style>
  <w:style w:type="paragraph" w:styleId="Title">
    <w:name w:val="Title"/>
    <w:basedOn w:val="Normal"/>
    <w:next w:val="Normal"/>
    <w:link w:val="TitleChar"/>
    <w:uiPriority w:val="10"/>
    <w:qFormat/>
    <w:rsid w:val="00EB009C"/>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EB009C"/>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EB009C"/>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EB009C"/>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EB009C"/>
    <w:pPr>
      <w:spacing w:before="160"/>
      <w:jc w:val="center"/>
    </w:pPr>
    <w:rPr>
      <w:i/>
      <w:iCs/>
      <w:color w:val="404040" w:themeColor="text1" w:themeTint="BF"/>
    </w:rPr>
  </w:style>
  <w:style w:type="character" w:customStyle="1" w:styleId="QuoteChar">
    <w:name w:val="Quote Char"/>
    <w:basedOn w:val="DefaultParagraphFont"/>
    <w:link w:val="Quote"/>
    <w:uiPriority w:val="29"/>
    <w:rsid w:val="00EB009C"/>
    <w:rPr>
      <w:rFonts w:cs="Mangal"/>
      <w:i/>
      <w:iCs/>
      <w:color w:val="404040" w:themeColor="text1" w:themeTint="BF"/>
    </w:rPr>
  </w:style>
  <w:style w:type="paragraph" w:styleId="ListParagraph">
    <w:name w:val="List Paragraph"/>
    <w:basedOn w:val="Normal"/>
    <w:uiPriority w:val="34"/>
    <w:qFormat/>
    <w:rsid w:val="00EB009C"/>
    <w:pPr>
      <w:ind w:left="720"/>
      <w:contextualSpacing/>
    </w:pPr>
  </w:style>
  <w:style w:type="character" w:styleId="IntenseEmphasis">
    <w:name w:val="Intense Emphasis"/>
    <w:basedOn w:val="DefaultParagraphFont"/>
    <w:uiPriority w:val="21"/>
    <w:qFormat/>
    <w:rsid w:val="00EB009C"/>
    <w:rPr>
      <w:i/>
      <w:iCs/>
      <w:color w:val="0F4761" w:themeColor="accent1" w:themeShade="BF"/>
    </w:rPr>
  </w:style>
  <w:style w:type="paragraph" w:styleId="IntenseQuote">
    <w:name w:val="Intense Quote"/>
    <w:basedOn w:val="Normal"/>
    <w:next w:val="Normal"/>
    <w:link w:val="IntenseQuoteChar"/>
    <w:uiPriority w:val="30"/>
    <w:qFormat/>
    <w:rsid w:val="00EB00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009C"/>
    <w:rPr>
      <w:rFonts w:cs="Mangal"/>
      <w:i/>
      <w:iCs/>
      <w:color w:val="0F4761" w:themeColor="accent1" w:themeShade="BF"/>
    </w:rPr>
  </w:style>
  <w:style w:type="character" w:styleId="IntenseReference">
    <w:name w:val="Intense Reference"/>
    <w:basedOn w:val="DefaultParagraphFont"/>
    <w:uiPriority w:val="32"/>
    <w:qFormat/>
    <w:rsid w:val="00EB009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1169</Words>
  <Characters>6669</Characters>
  <Application>Microsoft Office Word</Application>
  <DocSecurity>0</DocSecurity>
  <Lines>55</Lines>
  <Paragraphs>15</Paragraphs>
  <ScaleCrop>false</ScaleCrop>
  <Company/>
  <LinksUpToDate>false</LinksUpToDate>
  <CharactersWithSpaces>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Ariyan Siddique</dc:creator>
  <cp:keywords/>
  <dc:description/>
  <cp:lastModifiedBy>Ariyan Siddique</cp:lastModifiedBy>
  <cp:revision>1</cp:revision>
  <dcterms:created xsi:type="dcterms:W3CDTF">2026-05-27T17:06:00Z</dcterms:created>
  <dcterms:modified xsi:type="dcterms:W3CDTF">2026-05-27T17:07:00Z</dcterms:modified>
</cp:coreProperties>
</file>